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комментарий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1 января 2014 г. вместо аттестации рабочих мест работодатели обязаны проводить новую процедуру - специальную оценку условий труда. Для этого им необходимо заключить договор с соответствующей организацией, которая должна отвечать определенным требованиям. Данные поправки содержит Федеральный </w:t>
      </w:r>
      <w:hyperlink r:id="rId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28.12.2013 N 426-ФЗ, который вступил в силу 1 января 2014 г. (за исключением некоторых положений).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Наряду с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N 426-ФЗ, был принят Федеральный </w:t>
      </w:r>
      <w:hyperlink r:id="rId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28.12.2013 N 421-ФЗ "О внесении изменений в отдельные законодательные акты Российской Федерации в связи с принятием Федерального закона "О специальной оценке условий труда", содержащий ряд поправок к другим федеральным законам, в том числе к </w:t>
      </w:r>
      <w:hyperlink r:id="rId8" w:history="1">
        <w:r>
          <w:rPr>
            <w:rFonts w:ascii="Calibri" w:hAnsi="Calibri" w:cs="Calibri"/>
            <w:color w:val="0000FF"/>
          </w:rPr>
          <w:t>Кодексу</w:t>
        </w:r>
      </w:hyperlink>
      <w:r>
        <w:rPr>
          <w:rFonts w:ascii="Calibri" w:hAnsi="Calibri" w:cs="Calibri"/>
        </w:rPr>
        <w:t xml:space="preserve"> РФ об административных правонарушениях. Так, если спецоценка не проведена или нарушены правила ее проведения, работодателю-организации грозит штраф на сумму от 60 до 80 тыс. руб., а индивидуальному предпринимателю - от 5 до 10 тыс. руб. Кроме того, административная ответственность установлена и для организаций, которые проводят спецоценку на основании гражданско-правового договора с работодателем. Штраф за нарушение порядка ее проведения для таких организаций может составить от 70 до 100 тыс. руб.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Ранее спецоценка труда упоминалась только в законодательстве о страховых взносах. В таких случаях законодатель связывает с результатами спецоценки возможность освобождения страхователей от уплаты взносов по дополнительным тарифам. Однако пока данные положения не могут быть реализованы на практике. Теперь это стало возможным.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Спецоценка должна проводиться в отношении всех рабочих мест, включая те, аттестация которых ранее была необязательна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Согласно </w:t>
      </w:r>
      <w:hyperlink r:id="rId9" w:history="1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N 426-ФЗ спецоценка включает мероприятия, направленные на выявление на рабочих местах потенциально опасных и вредных факторов и определение уровня их воздействия на работников. По итогам ее проведения будет устанавливаться соответствующий класс (подкласс) условий труда.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Спецоценке подлежат все рабочие места. Однако в отношении условий труда надомных и дистанционных работников, а также работников, занятых у физлиц, которые не являются предпринимателями, она проводиться не должна. Ранее работодатель не проводил аттестацию рабочих мест, на которых сотрудники заняты исключительно работой на персональном компьютере и (или) эксплуатируют оргтехнику (</w:t>
      </w:r>
      <w:hyperlink r:id="rId10" w:history="1">
        <w:r>
          <w:rPr>
            <w:rFonts w:ascii="Calibri" w:hAnsi="Calibri" w:cs="Calibri"/>
            <w:color w:val="0000FF"/>
          </w:rPr>
          <w:t>п. 4</w:t>
        </w:r>
      </w:hyperlink>
      <w:r>
        <w:rPr>
          <w:rFonts w:ascii="Calibri" w:hAnsi="Calibri" w:cs="Calibri"/>
        </w:rPr>
        <w:t xml:space="preserve"> </w:t>
      </w:r>
      <w:hyperlink r:id="rId11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>, утвержденного Приказом Минздравсоцразвития России от 26.04.2011 N 342н).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до 1 января 2014 г. в отношении рабочих мест была проведена аттестация, то по общему правилу ее результаты действительны в течение пяти лет со дня ее завершения. В этот период спецоценку проводить необязательно.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проведения спецоценки во многом аналогичен порядку проведения аттестации рабочих мест по условиям труда. Вместе с тем добавляется новый этап - идентификация потенциально вредных и опасных факторов производственной среды и трудового процесса. Последнюю должен осуществлять эксперт организации, проводящей специальную оценку условий труда. Результаты идентификации утверждает комиссия, включающая представителей работодателя и выборного органа работников.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При отсутствии вредных или опасных факторов соответствие рабочих мест госнормативам можно декларировать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Еще одной новеллой стало введение возможности декларировать соответствие условий труда государственным нормативным требованиям охраны труда. Речь идет о тех рабочих местах, на которых не выявлены вредные и опасные факторы. Декларирование заменило сертификацию организации работы по охране труда, что существенным образом может снизить затраты работодателей.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Декларацию соответствия условий труда государственным нормативным требованиям охраны труда работодатели могут подавать в государственную инспекцию труда по месту своего нахождения. Она будет </w:t>
      </w:r>
      <w:proofErr w:type="gramStart"/>
      <w:r>
        <w:rPr>
          <w:rFonts w:ascii="Calibri" w:hAnsi="Calibri" w:cs="Calibri"/>
        </w:rPr>
        <w:t>действительна</w:t>
      </w:r>
      <w:proofErr w:type="gramEnd"/>
      <w:r>
        <w:rPr>
          <w:rFonts w:ascii="Calibri" w:hAnsi="Calibri" w:cs="Calibri"/>
        </w:rPr>
        <w:t xml:space="preserve"> пять лет и может быть автоматически продлена на тот же срок, если за указанный период на соответствующих рабочих местах не было несчастных случаев и профзаболеваний. Если же эти события произойдут, действие декларации прекратится, а в отношении таких рабочих мест должна быть проведена внеплановая спецоценка.</w:t>
      </w:r>
    </w:p>
    <w:p w:rsidR="00A6405F" w:rsidRDefault="00A6405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i/>
            <w:iCs/>
            <w:color w:val="0000FF"/>
          </w:rPr>
          <w:br/>
        </w:r>
        <w:proofErr w:type="gramStart"/>
        <w:r>
          <w:rPr>
            <w:rFonts w:ascii="Calibri" w:hAnsi="Calibri" w:cs="Calibri"/>
            <w:i/>
            <w:iCs/>
            <w:color w:val="0000FF"/>
          </w:rPr>
          <w:t>{"КонсультантПлюс:</w:t>
        </w:r>
        <w:proofErr w:type="gramEnd"/>
        <w:r>
          <w:rPr>
            <w:rFonts w:ascii="Calibri" w:hAnsi="Calibri" w:cs="Calibri"/>
            <w:i/>
            <w:iCs/>
            <w:color w:val="0000FF"/>
          </w:rPr>
          <w:t xml:space="preserve"> Еженедельные комментарии - документы, проекты, события. </w:t>
        </w:r>
        <w:proofErr w:type="gramStart"/>
        <w:r>
          <w:rPr>
            <w:rFonts w:ascii="Calibri" w:hAnsi="Calibri" w:cs="Calibri"/>
            <w:i/>
            <w:iCs/>
            <w:color w:val="0000FF"/>
          </w:rPr>
          <w:t>Выпуск от 9 января 2014 года" {КонсультантПлюс}}</w:t>
        </w:r>
        <w:r>
          <w:rPr>
            <w:rFonts w:ascii="Calibri" w:hAnsi="Calibri" w:cs="Calibri"/>
            <w:i/>
            <w:iCs/>
            <w:color w:val="0000FF"/>
          </w:rPr>
          <w:br/>
        </w:r>
      </w:hyperlink>
      <w:proofErr w:type="gramEnd"/>
    </w:p>
    <w:p w:rsidR="00D836DD" w:rsidRDefault="00D836DD">
      <w:bookmarkStart w:id="0" w:name="_GoBack"/>
      <w:bookmarkEnd w:id="0"/>
    </w:p>
    <w:sectPr w:rsidR="00D836DD" w:rsidSect="002B6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05F"/>
    <w:rsid w:val="00A6405F"/>
    <w:rsid w:val="00D8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067F69DE08B312D4F63AF04BB1686C91C4D62F7C025853CDC0EF6B56cAm2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067F69DE08B312D4F63AF04BB1686C91C4D62D73075853CDC0EF6B56cAm2M" TargetMode="External"/><Relationship Id="rId12" Type="http://schemas.openxmlformats.org/officeDocument/2006/relationships/hyperlink" Target="consultantplus://offline/ref=D9067F69DE08B312D4F63AF04BB1686C91C5D52975075853CDC0EF6B56A29B4463708974FD804368cEm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067F69DE08B312D4F63AF04BB1686C91C4D62D70015853CDC0EF6B56cAm2M" TargetMode="External"/><Relationship Id="rId11" Type="http://schemas.openxmlformats.org/officeDocument/2006/relationships/hyperlink" Target="consultantplus://offline/ref=D9067F69DE08B312D4F63AF04BB1686C91C5D120730D5853CDC0EF6B56A29B4463708974FD80436DcEm9M" TargetMode="External"/><Relationship Id="rId5" Type="http://schemas.openxmlformats.org/officeDocument/2006/relationships/hyperlink" Target="consultantplus://offline/ref=D9067F69DE08B312D4F63AF04BB1686C91C4D62D70015853CDC0EF6B56cAm2M" TargetMode="External"/><Relationship Id="rId10" Type="http://schemas.openxmlformats.org/officeDocument/2006/relationships/hyperlink" Target="consultantplus://offline/ref=D9067F69DE08B312D4F63AF04BB1686C91C5D120730D5853CDC0EF6B56A29B44637089c7m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067F69DE08B312D4F63AF04BB1686C91C4D62D70015853CDC0EF6B56cAm2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1</cp:revision>
  <dcterms:created xsi:type="dcterms:W3CDTF">2014-02-03T12:38:00Z</dcterms:created>
  <dcterms:modified xsi:type="dcterms:W3CDTF">2014-02-03T12:39:00Z</dcterms:modified>
</cp:coreProperties>
</file>